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00" w:lineRule="exact"/>
        <w:rPr>
          <w:rFonts w:ascii="仿宋_GB2312" w:hAnsi="仿宋_GB2312" w:cs="仿宋_GB2312"/>
          <w:bCs/>
          <w:color w:val="000000"/>
          <w:kern w:val="0"/>
          <w:sz w:val="44"/>
          <w:szCs w:val="44"/>
        </w:rPr>
      </w:pPr>
    </w:p>
    <w:p>
      <w:pPr>
        <w:widowControl/>
        <w:spacing w:line="594" w:lineRule="exact"/>
        <w:jc w:val="center"/>
        <w:rPr>
          <w:rFonts w:ascii="方正小标宋简体" w:hAnsi="方正小标宋简体" w:eastAsia="方正小标宋简体" w:cs="方正小标宋简体"/>
          <w:b/>
          <w:bCs/>
          <w:color w:val="000000"/>
          <w:kern w:val="0"/>
          <w:sz w:val="36"/>
          <w:szCs w:val="36"/>
        </w:rPr>
      </w:pPr>
      <w:r>
        <w:rPr>
          <w:rFonts w:hint="eastAsia" w:ascii="方正小标宋简体" w:hAnsi="方正小标宋简体" w:eastAsia="方正小标宋简体" w:cs="方正小标宋简体"/>
          <w:bCs/>
          <w:color w:val="000000"/>
          <w:kern w:val="0"/>
          <w:sz w:val="44"/>
          <w:szCs w:val="44"/>
        </w:rPr>
        <w:t>延安市人民政府关于省委环保督察组交办问题</w:t>
      </w:r>
      <w:r>
        <w:rPr>
          <w:rFonts w:hint="eastAsia" w:ascii="方正小标宋简体" w:hAnsi="方正小标宋简体" w:eastAsia="方正小标宋简体" w:cs="方正小标宋简体"/>
          <w:b/>
          <w:bCs/>
          <w:color w:val="000000"/>
          <w:kern w:val="0"/>
          <w:sz w:val="44"/>
          <w:szCs w:val="44"/>
        </w:rPr>
        <w:br w:type="textWrapping"/>
      </w:r>
      <w:r>
        <w:rPr>
          <w:rFonts w:hint="eastAsia" w:ascii="方正小标宋简体" w:hAnsi="方正小标宋简体" w:eastAsia="方正小标宋简体" w:cs="方正小标宋简体"/>
          <w:bCs/>
          <w:color w:val="000000"/>
          <w:kern w:val="0"/>
          <w:sz w:val="44"/>
          <w:szCs w:val="44"/>
        </w:rPr>
        <w:t>调查处理情况的通报</w:t>
      </w:r>
    </w:p>
    <w:p>
      <w:pPr>
        <w:widowControl/>
        <w:spacing w:line="594" w:lineRule="exact"/>
        <w:jc w:val="left"/>
        <w:rPr>
          <w:rFonts w:ascii="仿宋_GB2312" w:hAnsi="仿宋_GB2312" w:cs="仿宋_GB2312"/>
          <w:color w:val="000000"/>
          <w:kern w:val="0"/>
          <w:sz w:val="24"/>
        </w:rPr>
      </w:pPr>
      <w:r>
        <w:rPr>
          <w:rFonts w:hint="eastAsia" w:ascii="仿宋_GB2312" w:hAnsi="仿宋_GB2312" w:cs="仿宋_GB2312"/>
          <w:b/>
          <w:bCs/>
          <w:color w:val="000000"/>
          <w:kern w:val="0"/>
          <w:sz w:val="24"/>
        </w:rPr>
        <w:t xml:space="preserve"> 截止2018年11月3日，省委第一环境保护督察组交办涉及延安市环境信</w:t>
      </w:r>
      <w:bookmarkStart w:id="0" w:name="_GoBack"/>
      <w:bookmarkEnd w:id="0"/>
      <w:r>
        <w:rPr>
          <w:rFonts w:hint="eastAsia" w:ascii="仿宋_GB2312" w:hAnsi="仿宋_GB2312" w:cs="仿宋_GB2312"/>
          <w:b/>
          <w:bCs/>
          <w:color w:val="000000"/>
          <w:kern w:val="0"/>
          <w:sz w:val="24"/>
        </w:rPr>
        <w:t>访件158件，现将3件交办问题办理结果通报如下：</w:t>
      </w:r>
    </w:p>
    <w:p>
      <w:pPr>
        <w:widowControl/>
        <w:rPr>
          <w:rFonts w:ascii="仿宋_GB2312" w:hAnsi="仿宋_GB2312" w:cs="仿宋_GB2312"/>
          <w:color w:val="000000"/>
          <w:kern w:val="0"/>
          <w:sz w:val="22"/>
        </w:rPr>
      </w:pPr>
    </w:p>
    <w:tbl>
      <w:tblPr>
        <w:tblStyle w:val="5"/>
        <w:tblW w:w="1357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1"/>
        <w:gridCol w:w="2254"/>
        <w:gridCol w:w="1275"/>
        <w:gridCol w:w="5245"/>
        <w:gridCol w:w="709"/>
        <w:gridCol w:w="2704"/>
        <w:gridCol w:w="6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24" w:hRule="atLeast"/>
          <w:jc w:val="center"/>
        </w:trPr>
        <w:tc>
          <w:tcPr>
            <w:tcW w:w="691" w:type="dxa"/>
            <w:vAlign w:val="center"/>
          </w:tcPr>
          <w:p>
            <w:pPr>
              <w:widowControl/>
              <w:jc w:val="center"/>
              <w:rPr>
                <w:rFonts w:ascii="仿宋_GB2312" w:hAnsi="仿宋_GB2312" w:cs="仿宋_GB2312"/>
                <w:b/>
                <w:bCs/>
                <w:color w:val="000000"/>
                <w:kern w:val="0"/>
                <w:sz w:val="24"/>
                <w:szCs w:val="24"/>
              </w:rPr>
            </w:pPr>
            <w:r>
              <w:rPr>
                <w:rFonts w:hint="eastAsia" w:ascii="仿宋_GB2312" w:hAnsi="仿宋_GB2312" w:cs="仿宋_GB2312"/>
                <w:b/>
                <w:bCs/>
                <w:color w:val="000000"/>
                <w:kern w:val="0"/>
                <w:sz w:val="24"/>
                <w:szCs w:val="24"/>
              </w:rPr>
              <w:t>序号</w:t>
            </w:r>
          </w:p>
        </w:tc>
        <w:tc>
          <w:tcPr>
            <w:tcW w:w="2254" w:type="dxa"/>
            <w:vAlign w:val="center"/>
          </w:tcPr>
          <w:p>
            <w:pPr>
              <w:widowControl/>
              <w:jc w:val="center"/>
              <w:rPr>
                <w:rFonts w:ascii="仿宋_GB2312" w:hAnsi="仿宋_GB2312" w:cs="仿宋_GB2312"/>
                <w:b/>
                <w:bCs/>
                <w:color w:val="000000"/>
                <w:kern w:val="0"/>
                <w:sz w:val="24"/>
                <w:szCs w:val="24"/>
              </w:rPr>
            </w:pPr>
            <w:r>
              <w:rPr>
                <w:rFonts w:hint="eastAsia" w:ascii="仿宋_GB2312" w:hAnsi="仿宋_GB2312" w:cs="仿宋_GB2312"/>
                <w:b/>
                <w:bCs/>
                <w:color w:val="000000"/>
                <w:kern w:val="0"/>
                <w:sz w:val="24"/>
                <w:szCs w:val="24"/>
              </w:rPr>
              <w:t>交办问题基本情况</w:t>
            </w:r>
          </w:p>
        </w:tc>
        <w:tc>
          <w:tcPr>
            <w:tcW w:w="1275" w:type="dxa"/>
            <w:vAlign w:val="center"/>
          </w:tcPr>
          <w:p>
            <w:pPr>
              <w:widowControl/>
              <w:jc w:val="center"/>
              <w:rPr>
                <w:rFonts w:ascii="仿宋_GB2312" w:hAnsi="仿宋_GB2312" w:cs="仿宋_GB2312"/>
                <w:b/>
                <w:bCs/>
                <w:color w:val="000000"/>
                <w:kern w:val="0"/>
                <w:sz w:val="24"/>
                <w:szCs w:val="24"/>
              </w:rPr>
            </w:pPr>
            <w:r>
              <w:rPr>
                <w:rFonts w:hint="eastAsia" w:ascii="仿宋_GB2312" w:hAnsi="仿宋_GB2312" w:cs="仿宋_GB2312"/>
                <w:b/>
                <w:bCs/>
                <w:color w:val="000000"/>
                <w:kern w:val="0"/>
                <w:sz w:val="24"/>
                <w:szCs w:val="24"/>
              </w:rPr>
              <w:t>涉及区县及部门</w:t>
            </w:r>
          </w:p>
        </w:tc>
        <w:tc>
          <w:tcPr>
            <w:tcW w:w="5245" w:type="dxa"/>
            <w:vAlign w:val="center"/>
          </w:tcPr>
          <w:p>
            <w:pPr>
              <w:widowControl/>
              <w:jc w:val="center"/>
              <w:rPr>
                <w:rFonts w:ascii="仿宋_GB2312" w:hAnsi="仿宋_GB2312" w:cs="仿宋_GB2312"/>
                <w:b/>
                <w:bCs/>
                <w:color w:val="000000"/>
                <w:kern w:val="0"/>
                <w:sz w:val="24"/>
                <w:szCs w:val="24"/>
              </w:rPr>
            </w:pPr>
            <w:r>
              <w:rPr>
                <w:rFonts w:hint="eastAsia" w:ascii="仿宋_GB2312" w:hAnsi="仿宋_GB2312" w:cs="仿宋_GB2312"/>
                <w:b/>
                <w:bCs/>
                <w:color w:val="000000"/>
                <w:kern w:val="0"/>
                <w:sz w:val="24"/>
                <w:szCs w:val="24"/>
              </w:rPr>
              <w:t>调查核实情况</w:t>
            </w:r>
          </w:p>
        </w:tc>
        <w:tc>
          <w:tcPr>
            <w:tcW w:w="709" w:type="dxa"/>
            <w:vAlign w:val="center"/>
          </w:tcPr>
          <w:p>
            <w:pPr>
              <w:widowControl/>
              <w:jc w:val="center"/>
              <w:rPr>
                <w:rFonts w:ascii="仿宋_GB2312" w:hAnsi="仿宋_GB2312" w:cs="仿宋_GB2312"/>
                <w:b/>
                <w:bCs/>
                <w:color w:val="000000"/>
                <w:kern w:val="0"/>
                <w:sz w:val="24"/>
                <w:szCs w:val="24"/>
              </w:rPr>
            </w:pPr>
            <w:r>
              <w:rPr>
                <w:rFonts w:hint="eastAsia" w:ascii="仿宋_GB2312" w:hAnsi="仿宋_GB2312" w:cs="仿宋_GB2312"/>
                <w:b/>
                <w:bCs/>
                <w:color w:val="000000"/>
                <w:kern w:val="0"/>
                <w:sz w:val="24"/>
                <w:szCs w:val="24"/>
              </w:rPr>
              <w:t>是否属实</w:t>
            </w:r>
          </w:p>
        </w:tc>
        <w:tc>
          <w:tcPr>
            <w:tcW w:w="2704" w:type="dxa"/>
            <w:vAlign w:val="center"/>
          </w:tcPr>
          <w:p>
            <w:pPr>
              <w:widowControl/>
              <w:jc w:val="center"/>
              <w:rPr>
                <w:rFonts w:ascii="仿宋_GB2312" w:hAnsi="仿宋_GB2312" w:cs="仿宋_GB2312"/>
                <w:b/>
                <w:bCs/>
                <w:color w:val="000000"/>
                <w:kern w:val="0"/>
                <w:sz w:val="24"/>
                <w:szCs w:val="24"/>
              </w:rPr>
            </w:pPr>
            <w:r>
              <w:rPr>
                <w:rFonts w:hint="eastAsia" w:ascii="仿宋_GB2312" w:hAnsi="仿宋_GB2312" w:cs="仿宋_GB2312"/>
                <w:b/>
                <w:bCs/>
                <w:color w:val="000000"/>
                <w:kern w:val="0"/>
                <w:sz w:val="24"/>
                <w:szCs w:val="24"/>
              </w:rPr>
              <w:t>处理处罚和问责情况</w:t>
            </w:r>
          </w:p>
        </w:tc>
        <w:tc>
          <w:tcPr>
            <w:tcW w:w="698" w:type="dxa"/>
            <w:vAlign w:val="center"/>
          </w:tcPr>
          <w:p>
            <w:pPr>
              <w:widowControl/>
              <w:jc w:val="center"/>
              <w:rPr>
                <w:rFonts w:ascii="仿宋_GB2312" w:hAnsi="仿宋_GB2312" w:cs="仿宋_GB2312"/>
                <w:b/>
                <w:bCs/>
                <w:color w:val="000000"/>
                <w:kern w:val="0"/>
                <w:sz w:val="24"/>
                <w:szCs w:val="24"/>
              </w:rPr>
            </w:pPr>
            <w:r>
              <w:rPr>
                <w:rFonts w:hint="eastAsia" w:ascii="仿宋_GB2312" w:hAnsi="仿宋_GB2312" w:cs="仿宋_GB2312"/>
                <w:b/>
                <w:bCs/>
                <w:color w:val="000000"/>
                <w:kern w:val="0"/>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90" w:hRule="atLeast"/>
          <w:jc w:val="center"/>
        </w:trPr>
        <w:tc>
          <w:tcPr>
            <w:tcW w:w="691" w:type="dxa"/>
            <w:vAlign w:val="center"/>
          </w:tcPr>
          <w:p>
            <w:pPr>
              <w:widowControl/>
              <w:jc w:val="center"/>
              <w:rPr>
                <w:rFonts w:ascii="仿宋_GB2312" w:hAnsi="仿宋_GB2312" w:cs="仿宋_GB2312"/>
                <w:color w:val="000000"/>
                <w:kern w:val="0"/>
                <w:sz w:val="24"/>
              </w:rPr>
            </w:pPr>
            <w:r>
              <w:rPr>
                <w:rFonts w:hint="eastAsia" w:ascii="仿宋_GB2312" w:hAnsi="仿宋_GB2312" w:cs="仿宋_GB2312"/>
                <w:color w:val="000000"/>
                <w:kern w:val="0"/>
                <w:sz w:val="24"/>
              </w:rPr>
              <w:t>1　</w:t>
            </w:r>
          </w:p>
        </w:tc>
        <w:tc>
          <w:tcPr>
            <w:tcW w:w="2254" w:type="dxa"/>
            <w:vAlign w:val="center"/>
          </w:tcPr>
          <w:p>
            <w:pPr>
              <w:spacing w:line="240" w:lineRule="exact"/>
              <w:rPr>
                <w:rFonts w:ascii="仿宋_GB2312" w:hAnsi="仿宋_GB2312" w:cs="仿宋_GB2312"/>
                <w:color w:val="000000"/>
                <w:kern w:val="0"/>
                <w:sz w:val="24"/>
              </w:rPr>
            </w:pPr>
            <w:r>
              <w:rPr>
                <w:rFonts w:hint="eastAsia" w:ascii="仿宋_GB2312" w:hAnsi="仿宋_GB2312" w:cs="仿宋_GB2312"/>
                <w:color w:val="000000"/>
                <w:kern w:val="0"/>
                <w:sz w:val="24"/>
              </w:rPr>
              <w:t>瓦窑堡南桥长禾峁子有一个打铁的常年焚烧有烟煤，污染空气。</w:t>
            </w:r>
            <w:r>
              <w:rPr>
                <w:rFonts w:ascii="仿宋_GB2312" w:hAnsi="仿宋_GB2312" w:cs="仿宋_GB2312"/>
                <w:color w:val="000000"/>
                <w:kern w:val="0"/>
                <w:sz w:val="24"/>
              </w:rPr>
              <w:t xml:space="preserve"> </w:t>
            </w:r>
          </w:p>
        </w:tc>
        <w:tc>
          <w:tcPr>
            <w:tcW w:w="1275" w:type="dxa"/>
            <w:vAlign w:val="center"/>
          </w:tcPr>
          <w:p>
            <w:pPr>
              <w:widowControl/>
              <w:jc w:val="center"/>
              <w:rPr>
                <w:rFonts w:ascii="仿宋_GB2312" w:hAnsi="仿宋_GB2312" w:cs="仿宋_GB2312"/>
                <w:color w:val="000000"/>
                <w:kern w:val="0"/>
                <w:sz w:val="24"/>
              </w:rPr>
            </w:pPr>
            <w:r>
              <w:rPr>
                <w:rFonts w:hint="eastAsia" w:ascii="仿宋_GB2312" w:hAnsi="仿宋_GB2312" w:cs="仿宋_GB2312"/>
                <w:color w:val="000000"/>
                <w:kern w:val="0"/>
                <w:sz w:val="24"/>
              </w:rPr>
              <w:t>子长县</w:t>
            </w:r>
          </w:p>
        </w:tc>
        <w:tc>
          <w:tcPr>
            <w:tcW w:w="5245" w:type="dxa"/>
            <w:vAlign w:val="center"/>
          </w:tcPr>
          <w:p>
            <w:pPr>
              <w:widowControl/>
              <w:spacing w:line="400" w:lineRule="exact"/>
              <w:ind w:firstLine="480" w:firstLineChars="200"/>
              <w:rPr>
                <w:rFonts w:ascii="仿宋_GB2312" w:hAnsi="仿宋_GB2312" w:cs="仿宋_GB2312"/>
                <w:color w:val="000000"/>
                <w:kern w:val="0"/>
                <w:sz w:val="24"/>
              </w:rPr>
            </w:pPr>
            <w:r>
              <w:rPr>
                <w:rFonts w:hint="eastAsia" w:ascii="仿宋_GB2312" w:hAnsi="仿宋_GB2312" w:cs="仿宋_GB2312"/>
                <w:color w:val="000000"/>
                <w:kern w:val="0"/>
                <w:sz w:val="24"/>
              </w:rPr>
              <w:t>10月31日，子长县联合调查组立即赶赴现场，对瓦窑堡南桥长禾峁子周围进行了认真核查。经核查确认，瓦窑堡南桥长禾峁子沟里有铁匠炉8处，所有人分别为冯顺红、冯阳阳、何世远、冯满红、何世伟、丁顺林、杨志强、景丕春；铁匠炉燃烧的有原煤，每户存煤50公斤左右，正在营业。</w:t>
            </w:r>
          </w:p>
        </w:tc>
        <w:tc>
          <w:tcPr>
            <w:tcW w:w="709" w:type="dxa"/>
            <w:vAlign w:val="center"/>
          </w:tcPr>
          <w:p>
            <w:pPr>
              <w:widowControl/>
              <w:jc w:val="center"/>
              <w:rPr>
                <w:rFonts w:ascii="仿宋_GB2312" w:hAnsi="仿宋_GB2312" w:cs="仿宋_GB2312"/>
                <w:color w:val="000000"/>
                <w:kern w:val="0"/>
                <w:sz w:val="24"/>
              </w:rPr>
            </w:pPr>
            <w:r>
              <w:rPr>
                <w:rFonts w:hint="eastAsia" w:ascii="仿宋_GB2312" w:hAnsi="仿宋_GB2312" w:cs="仿宋_GB2312"/>
                <w:color w:val="000000"/>
                <w:kern w:val="0"/>
                <w:sz w:val="24"/>
              </w:rPr>
              <w:t>是</w:t>
            </w:r>
          </w:p>
        </w:tc>
        <w:tc>
          <w:tcPr>
            <w:tcW w:w="2704" w:type="dxa"/>
            <w:vAlign w:val="center"/>
          </w:tcPr>
          <w:p>
            <w:pPr>
              <w:autoSpaceDE w:val="0"/>
              <w:spacing w:line="400" w:lineRule="exact"/>
              <w:ind w:firstLine="480" w:firstLineChars="200"/>
              <w:rPr>
                <w:rFonts w:ascii="仿宋_GB2312" w:hAnsi="仿宋_GB2312" w:cs="仿宋_GB2312"/>
                <w:color w:val="000000"/>
                <w:kern w:val="0"/>
                <w:sz w:val="24"/>
              </w:rPr>
            </w:pPr>
            <w:r>
              <w:rPr>
                <w:rFonts w:hint="eastAsia" w:ascii="仿宋_GB2312" w:hAnsi="仿宋_GB2312" w:cs="仿宋_GB2312"/>
                <w:color w:val="000000"/>
                <w:kern w:val="0"/>
                <w:sz w:val="24"/>
              </w:rPr>
              <w:t>子长县联合调查组现场对铁匠炉使用的原煤进行了全部清理。</w:t>
            </w:r>
          </w:p>
          <w:p>
            <w:pPr>
              <w:autoSpaceDE w:val="0"/>
              <w:spacing w:line="400" w:lineRule="exact"/>
              <w:ind w:firstLine="480" w:firstLineChars="200"/>
              <w:rPr>
                <w:rFonts w:ascii="仿宋_GB2312" w:hAnsi="仿宋_GB2312" w:cs="仿宋_GB2312"/>
                <w:color w:val="000000"/>
                <w:kern w:val="0"/>
                <w:sz w:val="24"/>
              </w:rPr>
            </w:pPr>
            <w:r>
              <w:rPr>
                <w:rFonts w:hint="eastAsia" w:ascii="仿宋_GB2312" w:hAnsi="仿宋_GB2312" w:cs="仿宋_GB2312"/>
                <w:color w:val="000000"/>
                <w:kern w:val="0"/>
                <w:sz w:val="24"/>
              </w:rPr>
              <w:t>依据《子长县城区大气污染防治办法》，子长县城管执法局给予冯顺红等8户各100元的处罚。</w:t>
            </w:r>
          </w:p>
          <w:p>
            <w:pPr>
              <w:widowControl/>
              <w:jc w:val="center"/>
              <w:rPr>
                <w:rFonts w:ascii="仿宋_GB2312" w:hAnsi="仿宋_GB2312" w:cs="仿宋_GB2312"/>
                <w:color w:val="000000"/>
                <w:kern w:val="0"/>
                <w:sz w:val="24"/>
              </w:rPr>
            </w:pPr>
            <w:r>
              <w:rPr>
                <w:rFonts w:hint="eastAsia" w:ascii="仿宋_GB2312" w:hAnsi="仿宋_GB2312" w:cs="仿宋_GB2312"/>
                <w:color w:val="000000"/>
                <w:kern w:val="0"/>
                <w:sz w:val="24"/>
              </w:rPr>
              <w:t>　</w:t>
            </w:r>
          </w:p>
        </w:tc>
        <w:tc>
          <w:tcPr>
            <w:tcW w:w="698" w:type="dxa"/>
            <w:vAlign w:val="center"/>
          </w:tcPr>
          <w:p>
            <w:pPr>
              <w:widowControl/>
              <w:jc w:val="center"/>
              <w:rPr>
                <w:rFonts w:ascii="仿宋_GB2312" w:hAnsi="仿宋_GB2312" w:cs="仿宋_GB2312"/>
                <w:color w:val="000000"/>
                <w:kern w:val="0"/>
                <w:sz w:val="24"/>
              </w:rPr>
            </w:pPr>
            <w:r>
              <w:rPr>
                <w:rFonts w:hint="eastAsia" w:ascii="仿宋_GB2312" w:hAnsi="仿宋_GB2312" w:cs="仿宋_GB2312"/>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90" w:hRule="atLeast"/>
          <w:jc w:val="center"/>
        </w:trPr>
        <w:tc>
          <w:tcPr>
            <w:tcW w:w="691" w:type="dxa"/>
            <w:vAlign w:val="center"/>
          </w:tcPr>
          <w:p>
            <w:pPr>
              <w:widowControl/>
              <w:jc w:val="center"/>
              <w:rPr>
                <w:rFonts w:ascii="仿宋_GB2312" w:hAnsi="仿宋_GB2312" w:cs="仿宋_GB2312"/>
                <w:color w:val="000000"/>
                <w:kern w:val="0"/>
                <w:sz w:val="24"/>
              </w:rPr>
            </w:pPr>
            <w:r>
              <w:rPr>
                <w:rFonts w:hint="eastAsia" w:ascii="仿宋_GB2312" w:hAnsi="仿宋_GB2312" w:cs="仿宋_GB2312"/>
                <w:color w:val="000000"/>
                <w:kern w:val="0"/>
                <w:sz w:val="24"/>
              </w:rPr>
              <w:t>2</w:t>
            </w:r>
          </w:p>
        </w:tc>
        <w:tc>
          <w:tcPr>
            <w:tcW w:w="2254" w:type="dxa"/>
            <w:vAlign w:val="center"/>
          </w:tcPr>
          <w:p>
            <w:pPr>
              <w:widowControl/>
              <w:spacing w:line="400" w:lineRule="exact"/>
              <w:rPr>
                <w:rFonts w:ascii="仿宋_GB2312" w:hAnsi="仿宋_GB2312" w:cs="仿宋_GB2312"/>
                <w:color w:val="000000"/>
                <w:kern w:val="0"/>
                <w:sz w:val="24"/>
              </w:rPr>
            </w:pPr>
            <w:r>
              <w:rPr>
                <w:rFonts w:hint="eastAsia" w:ascii="仿宋_GB2312" w:hAnsi="仿宋_GB2312" w:cs="仿宋_GB2312"/>
                <w:color w:val="000000"/>
                <w:kern w:val="0"/>
                <w:sz w:val="24"/>
              </w:rPr>
              <w:t>火车站旁瓦窑堡煤炭集运经销公司：1、煤场无遮挡，煤灰污染严重；2、煤车无遮盖，扬尘污染严重，导致道路与周边菜地都是黑的；3、火车、铲车、拉煤车噪声扰民严重。</w:t>
            </w:r>
          </w:p>
        </w:tc>
        <w:tc>
          <w:tcPr>
            <w:tcW w:w="1275" w:type="dxa"/>
            <w:vAlign w:val="center"/>
          </w:tcPr>
          <w:p>
            <w:pPr>
              <w:widowControl/>
              <w:spacing w:line="400" w:lineRule="exact"/>
              <w:jc w:val="center"/>
              <w:rPr>
                <w:rFonts w:ascii="仿宋_GB2312" w:hAnsi="仿宋_GB2312" w:cs="仿宋_GB2312"/>
                <w:color w:val="000000"/>
                <w:kern w:val="0"/>
                <w:sz w:val="24"/>
              </w:rPr>
            </w:pPr>
            <w:r>
              <w:rPr>
                <w:rFonts w:hint="eastAsia" w:ascii="仿宋_GB2312" w:hAnsi="仿宋_GB2312" w:cs="仿宋_GB2312"/>
                <w:color w:val="000000"/>
                <w:kern w:val="0"/>
                <w:sz w:val="24"/>
              </w:rPr>
              <w:t>子长县</w:t>
            </w:r>
          </w:p>
        </w:tc>
        <w:tc>
          <w:tcPr>
            <w:tcW w:w="5245" w:type="dxa"/>
            <w:vAlign w:val="center"/>
          </w:tcPr>
          <w:p>
            <w:pPr>
              <w:widowControl/>
              <w:spacing w:line="400" w:lineRule="exact"/>
              <w:ind w:firstLine="480" w:firstLineChars="200"/>
              <w:jc w:val="left"/>
              <w:rPr>
                <w:rFonts w:ascii="仿宋_GB2312" w:hAnsi="仿宋_GB2312" w:cs="仿宋_GB2312"/>
                <w:color w:val="000000"/>
                <w:kern w:val="0"/>
                <w:sz w:val="24"/>
              </w:rPr>
            </w:pPr>
            <w:r>
              <w:rPr>
                <w:rFonts w:hint="eastAsia" w:ascii="仿宋_GB2312" w:hAnsi="仿宋_GB2312" w:cs="仿宋_GB2312"/>
                <w:color w:val="000000"/>
                <w:kern w:val="0"/>
                <w:sz w:val="24"/>
              </w:rPr>
              <w:t>10月31日，子长县联合调查组（县环境监察大队副大队长折小龙、中队长张宝同，工业局副局长刘伟，煤炭运销公司经理杨勇，瓦窑堡街道办干部郝东东等干部组成）赶赴现场核实。经调查，该公司陕西省煤炭运销集团瓦窑堡煤炭集运经销有限责任公司（以下简称子长煤台），于2003年3月取得由铁道部郑州铁路局西安勘测设计院设计的《陕西省煤炭运销集团瓦窑堡煤炭集运经销有限责任公司子长煤台的建设项目环境影响报告表》，2007年12月29日取得《延安市环境保护局建设项目竣工环境保护验收申请表》，2016年11月18日取得《营业执照》（三证合一）。</w:t>
            </w:r>
          </w:p>
          <w:p>
            <w:pPr>
              <w:widowControl/>
              <w:spacing w:line="400" w:lineRule="exact"/>
              <w:ind w:firstLine="480" w:firstLineChars="200"/>
              <w:jc w:val="left"/>
              <w:rPr>
                <w:rFonts w:ascii="仿宋_GB2312" w:hAnsi="仿宋_GB2312" w:cs="仿宋_GB2312"/>
                <w:color w:val="000000"/>
                <w:kern w:val="0"/>
                <w:sz w:val="24"/>
              </w:rPr>
            </w:pPr>
            <w:r>
              <w:rPr>
                <w:rFonts w:hint="eastAsia" w:ascii="仿宋_GB2312" w:hAnsi="仿宋_GB2312" w:cs="仿宋_GB2312"/>
                <w:color w:val="000000"/>
                <w:kern w:val="0"/>
                <w:sz w:val="24"/>
              </w:rPr>
              <w:t>经子长县联合调查组勘察：①煤台厂区和道路刚洒过水，厂区停拉煤车辆和铲车，现场勘察当天未看到有拉煤车辆出入和运煤火车。②煤台存煤场地约30亩，存煤约1万吨，均有黑色防尘网遮盖。③煤台厂区北侧有高约1.6米的砖围墙，围墙外有村民居住，个别群众有自家种的菜地，蔬菜叶子看见都是绿色的。</w:t>
            </w:r>
          </w:p>
          <w:p>
            <w:pPr>
              <w:widowControl/>
              <w:spacing w:line="400" w:lineRule="exact"/>
              <w:ind w:firstLine="480" w:firstLineChars="200"/>
              <w:jc w:val="left"/>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kern w:val="0"/>
                <w:sz w:val="24"/>
              </w:rPr>
              <w:t>该公司约10天向运煤火车装一次煤，每次约2000吨，每辆拉煤车均采取了遮盖措施，且在出煤台厂区时对车辆轮胎进行了冲洗。火车有噪声属环评认可，铲车和拉煤车噪声符合环评要求</w:t>
            </w:r>
            <w:r>
              <w:rPr>
                <w:rFonts w:hint="eastAsia" w:ascii="仿宋_GB2312"/>
                <w:szCs w:val="32"/>
              </w:rPr>
              <w:t>。</w:t>
            </w:r>
          </w:p>
          <w:p>
            <w:pPr>
              <w:widowControl/>
              <w:spacing w:line="400" w:lineRule="exact"/>
              <w:ind w:firstLine="480" w:firstLineChars="200"/>
              <w:jc w:val="left"/>
              <w:rPr>
                <w:rFonts w:ascii="仿宋_GB2312" w:hAnsi="仿宋_GB2312" w:cs="仿宋_GB2312"/>
                <w:color w:val="000000"/>
                <w:kern w:val="0"/>
                <w:sz w:val="24"/>
              </w:rPr>
            </w:pPr>
          </w:p>
        </w:tc>
        <w:tc>
          <w:tcPr>
            <w:tcW w:w="709" w:type="dxa"/>
            <w:vAlign w:val="center"/>
          </w:tcPr>
          <w:p>
            <w:pPr>
              <w:widowControl/>
              <w:spacing w:line="400" w:lineRule="exact"/>
              <w:ind w:firstLine="120" w:firstLineChars="50"/>
              <w:rPr>
                <w:rFonts w:ascii="仿宋_GB2312" w:hAnsi="仿宋_GB2312" w:cs="仿宋_GB2312"/>
                <w:color w:val="000000"/>
                <w:kern w:val="0"/>
                <w:sz w:val="24"/>
              </w:rPr>
            </w:pPr>
            <w:r>
              <w:rPr>
                <w:rFonts w:hint="eastAsia" w:ascii="仿宋_GB2312" w:hAnsi="仿宋_GB2312" w:cs="仿宋_GB2312"/>
                <w:color w:val="000000"/>
                <w:kern w:val="0"/>
                <w:sz w:val="24"/>
              </w:rPr>
              <w:t>否</w:t>
            </w:r>
          </w:p>
        </w:tc>
        <w:tc>
          <w:tcPr>
            <w:tcW w:w="2704" w:type="dxa"/>
            <w:vAlign w:val="center"/>
          </w:tcPr>
          <w:p>
            <w:pPr>
              <w:widowControl/>
              <w:spacing w:line="400" w:lineRule="exact"/>
              <w:ind w:firstLine="480" w:firstLineChars="200"/>
              <w:jc w:val="left"/>
              <w:rPr>
                <w:rFonts w:ascii="仿宋_GB2312" w:hAnsi="仿宋_GB2312" w:cs="仿宋_GB2312"/>
                <w:color w:val="000000"/>
                <w:kern w:val="0"/>
                <w:sz w:val="24"/>
              </w:rPr>
            </w:pPr>
          </w:p>
        </w:tc>
        <w:tc>
          <w:tcPr>
            <w:tcW w:w="698" w:type="dxa"/>
            <w:vAlign w:val="center"/>
          </w:tcPr>
          <w:p>
            <w:pPr>
              <w:widowControl/>
              <w:jc w:val="center"/>
              <w:rPr>
                <w:rFonts w:ascii="仿宋_GB2312" w:hAnsi="仿宋_GB2312" w:cs="仿宋_GB2312"/>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90" w:hRule="atLeast"/>
          <w:jc w:val="center"/>
        </w:trPr>
        <w:tc>
          <w:tcPr>
            <w:tcW w:w="691" w:type="dxa"/>
            <w:vAlign w:val="center"/>
          </w:tcPr>
          <w:p>
            <w:pPr>
              <w:widowControl/>
              <w:jc w:val="center"/>
              <w:rPr>
                <w:rFonts w:ascii="仿宋_GB2312" w:hAnsi="仿宋_GB2312" w:cs="仿宋_GB2312"/>
                <w:color w:val="000000"/>
                <w:kern w:val="0"/>
                <w:sz w:val="24"/>
              </w:rPr>
            </w:pPr>
            <w:r>
              <w:rPr>
                <w:rFonts w:hint="eastAsia" w:ascii="仿宋_GB2312" w:hAnsi="仿宋_GB2312" w:cs="仿宋_GB2312"/>
                <w:color w:val="000000"/>
                <w:kern w:val="0"/>
                <w:sz w:val="24"/>
              </w:rPr>
              <w:t>3</w:t>
            </w:r>
          </w:p>
        </w:tc>
        <w:tc>
          <w:tcPr>
            <w:tcW w:w="2254" w:type="dxa"/>
            <w:vAlign w:val="center"/>
          </w:tcPr>
          <w:p>
            <w:pPr>
              <w:widowControl/>
              <w:spacing w:line="400" w:lineRule="exact"/>
              <w:rPr>
                <w:rFonts w:ascii="仿宋_GB2312" w:hAnsi="仿宋_GB2312" w:cs="仿宋_GB2312"/>
                <w:color w:val="000000"/>
                <w:kern w:val="0"/>
                <w:sz w:val="24"/>
              </w:rPr>
            </w:pPr>
            <w:r>
              <w:rPr>
                <w:rFonts w:hint="eastAsia" w:ascii="仿宋_GB2312" w:hAnsi="仿宋_GB2312" w:cs="仿宋_GB2312"/>
                <w:color w:val="000000"/>
                <w:kern w:val="0"/>
                <w:sz w:val="24"/>
              </w:rPr>
              <w:t>宝塔山下小堤堤沟住户早晚焚烧橡胶、塑料等物体，气味难闻。</w:t>
            </w:r>
          </w:p>
        </w:tc>
        <w:tc>
          <w:tcPr>
            <w:tcW w:w="1275" w:type="dxa"/>
            <w:vAlign w:val="center"/>
          </w:tcPr>
          <w:p>
            <w:pPr>
              <w:widowControl/>
              <w:spacing w:line="400" w:lineRule="exact"/>
              <w:jc w:val="center"/>
              <w:rPr>
                <w:rFonts w:ascii="仿宋_GB2312" w:hAnsi="仿宋_GB2312" w:cs="仿宋_GB2312"/>
                <w:color w:val="000000"/>
                <w:kern w:val="0"/>
                <w:sz w:val="24"/>
              </w:rPr>
            </w:pPr>
            <w:r>
              <w:rPr>
                <w:rFonts w:hint="eastAsia" w:ascii="仿宋_GB2312" w:hAnsi="仿宋_GB2312" w:cs="仿宋_GB2312"/>
                <w:color w:val="000000"/>
                <w:kern w:val="0"/>
                <w:sz w:val="24"/>
              </w:rPr>
              <w:t>子长县</w:t>
            </w:r>
          </w:p>
        </w:tc>
        <w:tc>
          <w:tcPr>
            <w:tcW w:w="5245" w:type="dxa"/>
            <w:vAlign w:val="center"/>
          </w:tcPr>
          <w:p>
            <w:pPr>
              <w:widowControl/>
              <w:spacing w:line="400" w:lineRule="exact"/>
              <w:ind w:firstLine="480" w:firstLineChars="200"/>
              <w:jc w:val="left"/>
              <w:rPr>
                <w:rFonts w:ascii="仿宋_GB2312" w:hAnsi="仿宋_GB2312" w:cs="仿宋_GB2312"/>
                <w:color w:val="000000"/>
                <w:kern w:val="0"/>
                <w:sz w:val="24"/>
              </w:rPr>
            </w:pPr>
            <w:r>
              <w:rPr>
                <w:rFonts w:hint="eastAsia" w:ascii="仿宋_GB2312" w:hAnsi="仿宋_GB2312" w:cs="仿宋_GB2312"/>
                <w:color w:val="000000"/>
                <w:kern w:val="0"/>
                <w:sz w:val="24"/>
              </w:rPr>
              <w:t>10月31日，子长县联合调查组（县城管执法局井兰忠、郭伟、孙明阳，环保局吴世军，社区服务中心杨叶）赶赴现场，对瓦窑堡街道办过家楼村小堤堤沟周围进行了现场核查。经核查确认，瓦窑堡街道办过家楼村小堤堤沟（文昌塔路26号）住户刘柱，在自家院前存放10个废弃轮胎和塑料等废弃物，有焚烧过废弃轮胎和塑料等废弃物的现象。联合调查组现场监督刘柱将院内的10个废弃轮胎和塑料等废弃物进行了全部清理。</w:t>
            </w:r>
          </w:p>
          <w:p>
            <w:pPr>
              <w:widowControl/>
              <w:spacing w:line="400" w:lineRule="exact"/>
              <w:ind w:firstLine="480" w:firstLineChars="200"/>
              <w:jc w:val="left"/>
              <w:rPr>
                <w:rFonts w:ascii="仿宋_GB2312" w:hAnsi="仿宋_GB2312" w:cs="仿宋_GB2312"/>
                <w:color w:val="000000"/>
                <w:kern w:val="0"/>
                <w:sz w:val="24"/>
              </w:rPr>
            </w:pPr>
          </w:p>
        </w:tc>
        <w:tc>
          <w:tcPr>
            <w:tcW w:w="709" w:type="dxa"/>
            <w:vAlign w:val="center"/>
          </w:tcPr>
          <w:p>
            <w:pPr>
              <w:widowControl/>
              <w:spacing w:line="400" w:lineRule="exact"/>
              <w:ind w:firstLine="120" w:firstLineChars="50"/>
              <w:rPr>
                <w:rFonts w:ascii="仿宋_GB2312" w:hAnsi="仿宋_GB2312" w:cs="仿宋_GB2312"/>
                <w:color w:val="000000"/>
                <w:kern w:val="0"/>
                <w:sz w:val="24"/>
              </w:rPr>
            </w:pPr>
            <w:r>
              <w:rPr>
                <w:rFonts w:hint="eastAsia" w:ascii="仿宋_GB2312" w:hAnsi="仿宋_GB2312" w:cs="仿宋_GB2312"/>
                <w:color w:val="000000"/>
                <w:kern w:val="0"/>
                <w:sz w:val="24"/>
              </w:rPr>
              <w:t>是</w:t>
            </w:r>
          </w:p>
        </w:tc>
        <w:tc>
          <w:tcPr>
            <w:tcW w:w="2704" w:type="dxa"/>
            <w:vAlign w:val="center"/>
          </w:tcPr>
          <w:p>
            <w:pPr>
              <w:widowControl/>
              <w:spacing w:line="400" w:lineRule="exact"/>
              <w:ind w:firstLine="480" w:firstLineChars="200"/>
              <w:jc w:val="left"/>
              <w:rPr>
                <w:rFonts w:ascii="仿宋_GB2312" w:hAnsi="仿宋_GB2312" w:cs="仿宋_GB2312"/>
                <w:color w:val="000000"/>
                <w:kern w:val="0"/>
                <w:sz w:val="24"/>
              </w:rPr>
            </w:pPr>
            <w:r>
              <w:rPr>
                <w:rFonts w:hint="eastAsia" w:ascii="仿宋_GB2312" w:hAnsi="仿宋_GB2312" w:cs="仿宋_GB2312"/>
                <w:color w:val="000000"/>
                <w:kern w:val="0"/>
                <w:sz w:val="24"/>
              </w:rPr>
              <w:t>子长县城管执法局现场依法下达责令改正通知书和告知书（子城管责改字〔2018〕137号和第002号），责令其禁止焚烧橡胶、塑料等废弃物。依据《子长县城区大气污染防治办法》第九条、第三十一条之规定，子长县城管执法局给予刘柱100元的处罚。</w:t>
            </w:r>
          </w:p>
          <w:p>
            <w:pPr>
              <w:widowControl/>
              <w:spacing w:line="400" w:lineRule="exact"/>
              <w:ind w:firstLine="480" w:firstLineChars="200"/>
              <w:jc w:val="left"/>
              <w:rPr>
                <w:rFonts w:ascii="仿宋_GB2312" w:hAnsi="仿宋_GB2312" w:cs="仿宋_GB2312"/>
                <w:color w:val="000000"/>
                <w:kern w:val="0"/>
                <w:sz w:val="24"/>
              </w:rPr>
            </w:pPr>
            <w:r>
              <w:rPr>
                <w:rFonts w:hint="eastAsia" w:ascii="仿宋_GB2312" w:hAnsi="仿宋_GB2312" w:cs="仿宋_GB2312"/>
                <w:color w:val="000000"/>
                <w:kern w:val="0"/>
                <w:sz w:val="24"/>
              </w:rPr>
              <w:t>子长县环保督查组责令子长县瓦窑堡街道办社区服务中心工作人员对刘柱进行《陕西省大气污染防治条例》和《延安市市容市貌管理条例》及相关法律法规宣传教育，提高他对市容市貌及环境保护的认识，自觉遵守相关法律法规。子长县城管执法局执法人员和瓦窑堡街道办环卫工作人员进一步加大巡查力度，严禁在城区内焚烧橡胶、塑料等废弃物。</w:t>
            </w:r>
          </w:p>
        </w:tc>
        <w:tc>
          <w:tcPr>
            <w:tcW w:w="698" w:type="dxa"/>
            <w:vAlign w:val="center"/>
          </w:tcPr>
          <w:p>
            <w:pPr>
              <w:widowControl/>
              <w:jc w:val="center"/>
              <w:rPr>
                <w:rFonts w:ascii="仿宋_GB2312" w:hAnsi="仿宋_GB2312" w:cs="仿宋_GB2312"/>
                <w:color w:val="000000"/>
                <w:kern w:val="0"/>
                <w:sz w:val="24"/>
              </w:rPr>
            </w:pPr>
          </w:p>
        </w:tc>
      </w:tr>
    </w:tbl>
    <w:p>
      <w:pPr>
        <w:widowControl/>
        <w:rPr>
          <w:rFonts w:ascii="仿宋_GB2312" w:hAnsi="仿宋_GB2312" w:cs="仿宋_GB2312"/>
          <w:b/>
          <w:bCs/>
          <w:color w:val="000000"/>
          <w:kern w:val="0"/>
          <w:sz w:val="24"/>
          <w:szCs w:val="24"/>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1464033"/>
    </w:sdtPr>
    <w:sdtEndPr>
      <w:rPr>
        <w:rFonts w:asciiTheme="minorEastAsia" w:hAnsiTheme="minorEastAsia" w:eastAsiaTheme="minorEastAsia"/>
        <w:sz w:val="28"/>
        <w:szCs w:val="28"/>
      </w:rPr>
    </w:sdtEndPr>
    <w:sdtContent>
      <w:p>
        <w:pPr>
          <w:pStyle w:val="2"/>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2F"/>
    <w:rsid w:val="0000287E"/>
    <w:rsid w:val="0000435E"/>
    <w:rsid w:val="00021DB6"/>
    <w:rsid w:val="000B2D18"/>
    <w:rsid w:val="000E29D1"/>
    <w:rsid w:val="000F1DD1"/>
    <w:rsid w:val="00114594"/>
    <w:rsid w:val="00116C8D"/>
    <w:rsid w:val="00131EB0"/>
    <w:rsid w:val="001373A3"/>
    <w:rsid w:val="00143007"/>
    <w:rsid w:val="00171C18"/>
    <w:rsid w:val="001911B7"/>
    <w:rsid w:val="001C67AF"/>
    <w:rsid w:val="001E758F"/>
    <w:rsid w:val="002417C5"/>
    <w:rsid w:val="002545FA"/>
    <w:rsid w:val="00264C22"/>
    <w:rsid w:val="00271EA2"/>
    <w:rsid w:val="00273A26"/>
    <w:rsid w:val="002A5731"/>
    <w:rsid w:val="002C35AF"/>
    <w:rsid w:val="00326A25"/>
    <w:rsid w:val="003A7217"/>
    <w:rsid w:val="003B7116"/>
    <w:rsid w:val="003C1547"/>
    <w:rsid w:val="003C2F1D"/>
    <w:rsid w:val="00421929"/>
    <w:rsid w:val="0043564B"/>
    <w:rsid w:val="00481DB7"/>
    <w:rsid w:val="00490A48"/>
    <w:rsid w:val="004A1352"/>
    <w:rsid w:val="004B2969"/>
    <w:rsid w:val="004B3053"/>
    <w:rsid w:val="00505AA9"/>
    <w:rsid w:val="00533844"/>
    <w:rsid w:val="00535043"/>
    <w:rsid w:val="00593813"/>
    <w:rsid w:val="005A4374"/>
    <w:rsid w:val="005B1F0F"/>
    <w:rsid w:val="005C77CB"/>
    <w:rsid w:val="005D3D69"/>
    <w:rsid w:val="005F5D8A"/>
    <w:rsid w:val="005F60C2"/>
    <w:rsid w:val="006257C0"/>
    <w:rsid w:val="0067521E"/>
    <w:rsid w:val="006C64A6"/>
    <w:rsid w:val="006D26B9"/>
    <w:rsid w:val="006F7314"/>
    <w:rsid w:val="00716B7A"/>
    <w:rsid w:val="00720DC7"/>
    <w:rsid w:val="00724D18"/>
    <w:rsid w:val="0076570D"/>
    <w:rsid w:val="00787B98"/>
    <w:rsid w:val="007F0A46"/>
    <w:rsid w:val="0080393D"/>
    <w:rsid w:val="00896E17"/>
    <w:rsid w:val="008D26CB"/>
    <w:rsid w:val="008E42EA"/>
    <w:rsid w:val="00927399"/>
    <w:rsid w:val="00933644"/>
    <w:rsid w:val="00954105"/>
    <w:rsid w:val="009604A2"/>
    <w:rsid w:val="00983A20"/>
    <w:rsid w:val="009951EB"/>
    <w:rsid w:val="00A01084"/>
    <w:rsid w:val="00A077BF"/>
    <w:rsid w:val="00A371E0"/>
    <w:rsid w:val="00A676A0"/>
    <w:rsid w:val="00AA46B0"/>
    <w:rsid w:val="00AB6D4B"/>
    <w:rsid w:val="00AC385C"/>
    <w:rsid w:val="00AD613C"/>
    <w:rsid w:val="00AE5EAC"/>
    <w:rsid w:val="00B16EAC"/>
    <w:rsid w:val="00B63BF3"/>
    <w:rsid w:val="00B73861"/>
    <w:rsid w:val="00B871F9"/>
    <w:rsid w:val="00B917F3"/>
    <w:rsid w:val="00B91A34"/>
    <w:rsid w:val="00B92F15"/>
    <w:rsid w:val="00B9778E"/>
    <w:rsid w:val="00BA7E2E"/>
    <w:rsid w:val="00BD259B"/>
    <w:rsid w:val="00C0735C"/>
    <w:rsid w:val="00C348BF"/>
    <w:rsid w:val="00C6757A"/>
    <w:rsid w:val="00CA02DF"/>
    <w:rsid w:val="00CB06DE"/>
    <w:rsid w:val="00CD0826"/>
    <w:rsid w:val="00CE0D28"/>
    <w:rsid w:val="00D279B2"/>
    <w:rsid w:val="00D3691F"/>
    <w:rsid w:val="00D47B4F"/>
    <w:rsid w:val="00D5180E"/>
    <w:rsid w:val="00D75FD2"/>
    <w:rsid w:val="00D95ECB"/>
    <w:rsid w:val="00E01847"/>
    <w:rsid w:val="00E101C6"/>
    <w:rsid w:val="00E25CF6"/>
    <w:rsid w:val="00E25DCD"/>
    <w:rsid w:val="00E5620F"/>
    <w:rsid w:val="00E6182F"/>
    <w:rsid w:val="00E66358"/>
    <w:rsid w:val="00E851A3"/>
    <w:rsid w:val="00EA102F"/>
    <w:rsid w:val="00ED29C3"/>
    <w:rsid w:val="00EE5670"/>
    <w:rsid w:val="00F010BC"/>
    <w:rsid w:val="00F01DDD"/>
    <w:rsid w:val="00F13875"/>
    <w:rsid w:val="00F436B2"/>
    <w:rsid w:val="00F44C57"/>
    <w:rsid w:val="00F7524F"/>
    <w:rsid w:val="00F96EF5"/>
    <w:rsid w:val="00FA30BB"/>
    <w:rsid w:val="00FA7082"/>
    <w:rsid w:val="00FC6C2F"/>
    <w:rsid w:val="00FE38BB"/>
    <w:rsid w:val="1D313404"/>
    <w:rsid w:val="39CB4B42"/>
    <w:rsid w:val="56D8182C"/>
    <w:rsid w:val="5A2D018F"/>
    <w:rsid w:val="712D471E"/>
    <w:rsid w:val="72353B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仿宋_GB2312" w:cs="Times New Roman"/>
      <w:kern w:val="2"/>
      <w:sz w:val="32"/>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rFonts w:ascii="Arial" w:hAnsi="Arial" w:eastAsia="仿宋_GB2312" w:cs="Times New Roman"/>
      <w:sz w:val="18"/>
      <w:szCs w:val="18"/>
    </w:rPr>
  </w:style>
  <w:style w:type="character" w:customStyle="1" w:styleId="7">
    <w:name w:val="页脚 Char"/>
    <w:basedOn w:val="4"/>
    <w:link w:val="2"/>
    <w:qFormat/>
    <w:uiPriority w:val="99"/>
    <w:rPr>
      <w:rFonts w:ascii="Arial" w:hAnsi="Arial"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219</Words>
  <Characters>1252</Characters>
  <Lines>10</Lines>
  <Paragraphs>2</Paragraphs>
  <TotalTime>6</TotalTime>
  <ScaleCrop>false</ScaleCrop>
  <LinksUpToDate>false</LinksUpToDate>
  <CharactersWithSpaces>1469</CharactersWithSpaces>
  <Application>WPS Office_10.1.0.7578_F1E327BC-269C-435d-A152-05C5408002CA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2018-10-24T15:01:00Z</dcterms:created>
  <dc:creator>lenovo</dc:creator>
  <cp:lastModifiedBy>Administrator</cp:lastModifiedBy>
  <cp:lastPrinted>2018-10-31T14:27:00Z</cp:lastPrinted>
  <dcterms:modified xsi:type="dcterms:W3CDTF">2018-11-04T01:16:09Z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2052-10.1.0.7578</vt:lpwstr>
  </property>
</Properties>
</file>